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аварийности 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участием несовершеннолетних за 2017 года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дорожно-транспортных происшествий с участием детей и подростков до 16 лет в Республике Коми свидетельствует о том, что в 2017 году количество ДТП с участием несовершеннолетних по сравнению с аналогичным периодом прошлого года (далее - АППГ)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3,6%. Так, на дорогах республики зарегистрировано 165 ДТП (АППГ – 159), в которых число несовершеннолетних получивших травмы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6,8% (с 178 до 191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шесть детей погибли (АППГ – 4). По неосторожности детей произошло 54 ДТП (32,7% от общего числа ДТП).</w:t>
      </w:r>
    </w:p>
    <w:p w:rsidR="00902937" w:rsidRDefault="00902937" w:rsidP="0090293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inline distT="0" distB="0" distL="0" distR="0">
            <wp:extent cx="5514975" cy="3228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 3-х лет: 12 (6,1%) детей. 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3 до 7 лет: 29 (14,7%) несовершеннолетних.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7 до 11 лет: 77 (39,1%) несовершеннолетних.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11 до 16 лет: 79 (40,1%) несовершеннолетних.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наибольший процент пострадавших – это несовершеннолетние в возрасте от 7 до 16 лет.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197 пострадавших детей – 106 мальчиков и 91 девочка.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отмечается в следующих городах и районах республики: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Воркута 11 (АППГ – 7), Печора 10 (АППГ – 3), Ухта 19 (АППГ – 17), Сосногорск 8 (АППГ – 6),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8 (АППГ – 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3 (АППГ – 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5 (АППГ – 4),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3),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не зарегистрировано),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Печорский район 1 (АППГ – не зарегистрировано).</w:t>
      </w:r>
      <w:proofErr w:type="gramEnd"/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ДТП за прошедшие месяцы: январь – 11 ДТП (6,7%), февраль – 15 (9,1%), март – 8 (4,8%), апрель – 12 (7,3%), май –11 (6,7%), июнь – 20 (12,1%), июль – 17 (10,3%), август – 16 (9,7%), сентябрь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 (9,7%), октябрь – 11 (6,7%), ноябрь – 15 (9,1%), декабрь – 13 (7,9%).</w:t>
      </w:r>
    </w:p>
    <w:p w:rsidR="00902937" w:rsidRDefault="00902937" w:rsidP="0090293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inline distT="0" distB="0" distL="0" distR="0">
            <wp:extent cx="5572125" cy="28670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ДТП по дням недели: наибольшее количество ДТП произошло в понедельник – 29 ДТП (17,6 %), в пятницу, субботу и воскресенье по 25 ДТП (15,2%). Меньше всего ДТП зарегистрировано во вторник – 16 ДТП (9,7%).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02937" w:rsidRDefault="00902937" w:rsidP="0090293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inline distT="0" distB="0" distL="0" distR="0">
            <wp:extent cx="5562600" cy="28860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по времени суток: 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утром (с 6-00 до 12-00) – 19 (11,5%);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днем (с 12-00 до 18-00) – 78 (47,3%);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вечером (с 18-00 до 24-00) – 63 (38,2%); </w:t>
      </w:r>
    </w:p>
    <w:p w:rsidR="00902937" w:rsidRDefault="00902937" w:rsidP="00902937">
      <w:pPr>
        <w:widowControl w:val="0"/>
        <w:tabs>
          <w:tab w:val="center" w:pos="5037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ночью (с 24-00 до 6-00) – 5 (3%).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светлое время суток произошло 106 ДТП, в темное время 59. </w:t>
      </w:r>
    </w:p>
    <w:p w:rsidR="00902937" w:rsidRDefault="00902937" w:rsidP="0090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Распределение пострадавших несовершеннолетних в дорожно-транспортных происшествиях по категориям участников дорожного движения: 91 пешеход (из них 2 погибли), 86 пассажиров (из них 3 погибли), 13 велосипедистов (из них 1 погиб), 7 водителей транспортных средств. </w:t>
      </w:r>
    </w:p>
    <w:p w:rsidR="00902937" w:rsidRDefault="00902937" w:rsidP="0090293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772150" cy="30194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В 85 зарегистрированных ДТП (51,5% от общего числа ДТП) (АППГ- 79) с участием детей – пешеходов, 89 несовершеннолетних получили травмы и двое детей погибли. </w:t>
      </w:r>
    </w:p>
    <w:p w:rsidR="00902937" w:rsidRDefault="00902937" w:rsidP="0090293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0"/>
          <w:lang w:eastAsia="ru-RU"/>
        </w:rPr>
        <w:drawing>
          <wp:inline distT="0" distB="0" distL="0" distR="0">
            <wp:extent cx="5772150" cy="24860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погибший ребенок и 89 пострадавших получили травмы в населенных пунктах, вне населенного пункта в ДТП погиб один ребенок – пешеход (г. Воркута). На пешеходных переходах пострадали 36 детей, из них 5 были в сопровождении родителей, из которых один ребенок погиб. 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ребенка пострадали в дворовой территории, на краю проезжей части или на тротуаре, 8 детей находились в сопровождении взрослых. 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неосторожности пострадали 37 несовершеннолетних пешехода (40,6% от числа пострадавших пешеходов). Причины ДТП по неосторожности детей: 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10 (в сопровождении взрослого 3 ребенка);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12 детей (в сопровождении взрослого 3 ребенка);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выход на проезжую часть из-за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– 4;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4;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на красный сигнал светофора – 3;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игра на проезжей части – 2* ребенка;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2. (оба ребенка были в сопровождении взрослого).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детей – пешеходов в момент ДТП находились в сопровождении взрослых. 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усматривается вина детей, 8 детей находились в сопровождении взрослых.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присутствовали на одежде у 19 (20,9%) несовершеннолетних из общего числа пострадавших пешеходов. В темное время суток пострадали 29 (31,9%) несовершеннолетних пешехода из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были у 7 детей.</w:t>
      </w:r>
    </w:p>
    <w:p w:rsidR="00902937" w:rsidRDefault="00902937" w:rsidP="0090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 60 ДТП (36,4% от общего числа ДТП) (АППГ – 65) пострадали 83 несовершеннолетних пассажира (АППГ – 83) и три ребёнка погибли (АППГ – 3). </w:t>
      </w:r>
    </w:p>
    <w:p w:rsidR="00902937" w:rsidRDefault="00902937" w:rsidP="0090293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inline distT="0" distB="0" distL="0" distR="0">
            <wp:extent cx="5762625" cy="27527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Проведённым анализом установлено, что из 86 несовершеннолетних пассажиров 43 (50%) – перевозились с использованием детских удерживающих систем или ремней безопасности. Следовательно, 50% детей перевозились в транспортном средстве без них, в их числе все трое погибших несовершеннолетних. 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пострадавший ребенка получили травмы в населенном пункте, вне населенного пункта в ДТП пострадали 54 несовершеннолетних, из которых трое погибли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районах).</w:t>
      </w:r>
    </w:p>
    <w:p w:rsidR="00902937" w:rsidRDefault="00902937" w:rsidP="0090293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 (23,3%) несовершеннолетних были пассажирами рейсовых автобусов и 2 пассажирами школьных автобусов. В 1 ДТП были выявлены нарушения организованной перевозки групп детей.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 13 ДТП (7,9% от общего числа ДТП) (АППГ – 14) пострадали 12 несовершеннолетних водителей велосипедов, один ребенок погиб.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пострадавших получили травмы в населенном пункте, вне населенного пункта в ДТП пострадал один ребенок – велосипедист. По собственной неосторожности пострадали 10 детей (АППГ – 4). </w:t>
      </w:r>
    </w:p>
    <w:p w:rsidR="00902937" w:rsidRDefault="00902937" w:rsidP="0090293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>
            <wp:extent cx="5667375" cy="3048000"/>
            <wp:effectExtent l="0" t="0" r="9525" b="19050"/>
            <wp:docPr id="10" name="Диаграмма 10" title="ДТП с участием детей - велосипедистов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 - велосипедистов: </w:t>
      </w:r>
    </w:p>
    <w:p w:rsidR="00902937" w:rsidRDefault="00902937" w:rsidP="0090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выезд на проезжую часть в возрасте до 14 лет – 3 </w:t>
      </w:r>
    </w:p>
    <w:p w:rsidR="00902937" w:rsidRDefault="00902937" w:rsidP="0090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езда по тротуару велосипедистом в возрасте старше 14 лет – 1;</w:t>
      </w:r>
    </w:p>
    <w:p w:rsidR="00902937" w:rsidRDefault="00902937" w:rsidP="009029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переезд проезжей части на велосипеде (не спешившись) – 6 детей.</w:t>
      </w:r>
    </w:p>
    <w:p w:rsidR="00902937" w:rsidRDefault="00902937" w:rsidP="0090293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– 7 ДТП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4,2% от общего числа ДТП) произошло с участием несовершеннолетних водителей бурана, скутера, мопедов и мотоциклов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во всех случаях дети получили травмы, пятеро несовершеннолетних получили травмы в населенном пункте, вне населенного пункта в ДТП пострадал один ребенок – водитель бурана. Все ДТП произошли по неосторожности детей (возраст до 16 лет, а также отсутствие водительского удостоверения на право управления транспортными средствами). 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 неосторожности детей произошло 54 ДТП (32,7%) (АППГ – 34). По сравнению с аналогичным периодом прошлого года на 37 % увеличилось количество ДТП, где усматривается вина несовершеннолетних.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водительский стаж участников ДТП с 2002 года. 11 ДТП произошли с участием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имеющих водительского удостоверения.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вине водителей, управляющих транспортными средствами в состоянии опьянения зарегистрировано 20 ДТП в результате которых, два ребенка погибли и 23 получили травмы (в одном ДТП водитель ТС в состоянии опьянения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являлся отцом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пострадавших детей пассажиров). Из них 4 – е водителя не имели права управления транспортными средствами.</w:t>
      </w:r>
    </w:p>
    <w:p w:rsidR="00902937" w:rsidRDefault="00902937" w:rsidP="00902937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39" w:rsidRDefault="00EE0839"/>
    <w:sectPr w:rsidR="00EE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46"/>
    <w:rsid w:val="007A3D46"/>
    <w:rsid w:val="00902937"/>
    <w:rsid w:val="00E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165</c:v>
                </c:pt>
                <c:pt idx="1">
                  <c:v>6</c:v>
                </c:pt>
                <c:pt idx="2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72-4060-9486-69B01D50CB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159</c:v>
                </c:pt>
                <c:pt idx="1">
                  <c:v>4</c:v>
                </c:pt>
                <c:pt idx="2">
                  <c:v>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72-4060-9486-69B01D50C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733760"/>
        <c:axId val="151735296"/>
      </c:barChart>
      <c:catAx>
        <c:axId val="15173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735296"/>
        <c:crosses val="autoZero"/>
        <c:auto val="1"/>
        <c:lblAlgn val="ctr"/>
        <c:lblOffset val="100"/>
        <c:noMultiLvlLbl val="0"/>
      </c:catAx>
      <c:valAx>
        <c:axId val="151735296"/>
        <c:scaling>
          <c:orientation val="minMax"/>
          <c:max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73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spPr>
            <a:ln w="28575" cap="rnd" cmpd="sng">
              <a:solidFill>
                <a:schemeClr val="tx2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  <c:pt idx="10">
                  <c:v>15</c:v>
                </c:pt>
                <c:pt idx="11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AA-4B75-94B7-5571925345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пострадавших</c:v>
                </c:pt>
              </c:strCache>
            </c:strRef>
          </c:tx>
          <c:spPr>
            <a:ln w="28575" cap="rnd">
              <a:solidFill>
                <a:srgbClr val="C00000"/>
              </a:solidFill>
              <a:prstDash val="dash"/>
              <a:bevel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20</c:v>
                </c:pt>
                <c:pt idx="2">
                  <c:v>10</c:v>
                </c:pt>
                <c:pt idx="3">
                  <c:v>16</c:v>
                </c:pt>
                <c:pt idx="4">
                  <c:v>12</c:v>
                </c:pt>
                <c:pt idx="5">
                  <c:v>22</c:v>
                </c:pt>
                <c:pt idx="6">
                  <c:v>19</c:v>
                </c:pt>
                <c:pt idx="7">
                  <c:v>20</c:v>
                </c:pt>
                <c:pt idx="8">
                  <c:v>18</c:v>
                </c:pt>
                <c:pt idx="9">
                  <c:v>15</c:v>
                </c:pt>
                <c:pt idx="10">
                  <c:v>18</c:v>
                </c:pt>
                <c:pt idx="11">
                  <c:v>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AA-4B75-94B7-5571925345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216448"/>
        <c:axId val="144217984"/>
      </c:lineChart>
      <c:catAx>
        <c:axId val="14421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217984"/>
        <c:crosses val="autoZero"/>
        <c:auto val="1"/>
        <c:lblAlgn val="ctr"/>
        <c:lblOffset val="100"/>
        <c:noMultiLvlLbl val="0"/>
      </c:catAx>
      <c:valAx>
        <c:axId val="144217984"/>
        <c:scaling>
          <c:orientation val="minMax"/>
          <c:max val="23"/>
          <c:min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21644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Пн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83-4272-81F4-4F97049B7A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83-4272-81F4-4F97049B7A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83-4272-81F4-4F97049B7AD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83-4272-81F4-4F97049B7AD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83-4272-81F4-4F97049B7AD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Сб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83-4272-81F4-4F97049B7AD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Вс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83-4272-81F4-4F97049B7A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-57"/>
        <c:axId val="142947456"/>
        <c:axId val="142948992"/>
      </c:barChart>
      <c:catAx>
        <c:axId val="142947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948992"/>
        <c:crosses val="autoZero"/>
        <c:auto val="1"/>
        <c:lblAlgn val="ctr"/>
        <c:lblOffset val="100"/>
        <c:noMultiLvlLbl val="0"/>
      </c:catAx>
      <c:valAx>
        <c:axId val="142948992"/>
        <c:scaling>
          <c:orientation val="minMax"/>
          <c:max val="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947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9217593768520875"/>
          <c:w val="1"/>
          <c:h val="6.4813309626619256E-2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 участников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60</c:v>
                </c:pt>
                <c:pt idx="2">
                  <c:v>13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5D-4C4F-A21F-89499C7928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</c:v>
                </c:pt>
                <c:pt idx="1">
                  <c:v>65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5D-4C4F-A21F-89499C792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818240"/>
        <c:axId val="151819776"/>
      </c:barChart>
      <c:catAx>
        <c:axId val="15181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819776"/>
        <c:crosses val="autoZero"/>
        <c:auto val="1"/>
        <c:lblAlgn val="ctr"/>
        <c:lblOffset val="100"/>
        <c:noMultiLvlLbl val="0"/>
      </c:catAx>
      <c:valAx>
        <c:axId val="15181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818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2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9-48A8-A8FE-0282D3ADFF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79</c:v>
                </c:pt>
                <c:pt idx="1">
                  <c:v>1</c:v>
                </c:pt>
                <c:pt idx="2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E9-48A8-A8FE-0282D3ADFF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833600"/>
        <c:axId val="144253696"/>
      </c:barChart>
      <c:catAx>
        <c:axId val="15183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253696"/>
        <c:crosses val="autoZero"/>
        <c:auto val="1"/>
        <c:lblAlgn val="ctr"/>
        <c:lblOffset val="100"/>
        <c:noMultiLvlLbl val="0"/>
      </c:catAx>
      <c:valAx>
        <c:axId val="144253696"/>
        <c:scaling>
          <c:orientation val="minMax"/>
          <c:max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83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00-479A-BCE3-8B490798AD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00-479A-BCE3-8B490798AD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279808"/>
        <c:axId val="144285696"/>
      </c:barChart>
      <c:catAx>
        <c:axId val="14427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285696"/>
        <c:crosses val="autoZero"/>
        <c:auto val="1"/>
        <c:lblAlgn val="ctr"/>
        <c:lblOffset val="100"/>
        <c:noMultiLvlLbl val="0"/>
      </c:catAx>
      <c:valAx>
        <c:axId val="14428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27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велосипедистов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0947069116360459E-2"/>
          <c:y val="0.13832549037879141"/>
          <c:w val="0.9190529308836396"/>
          <c:h val="0.678843901908711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36-4FAD-B1C2-D5C5D8E9DB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36-4FAD-B1C2-D5C5D8E9D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098304"/>
        <c:axId val="152099840"/>
      </c:barChart>
      <c:catAx>
        <c:axId val="15209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099840"/>
        <c:crosses val="autoZero"/>
        <c:auto val="1"/>
        <c:lblAlgn val="ctr"/>
        <c:lblOffset val="100"/>
        <c:noMultiLvlLbl val="0"/>
      </c:catAx>
      <c:valAx>
        <c:axId val="15209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098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2</cp:revision>
  <dcterms:created xsi:type="dcterms:W3CDTF">2018-02-08T05:46:00Z</dcterms:created>
  <dcterms:modified xsi:type="dcterms:W3CDTF">2018-02-08T05:47:00Z</dcterms:modified>
</cp:coreProperties>
</file>